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A98" w:rsidRPr="00905A98" w:rsidRDefault="00905A98" w:rsidP="00905A9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b/>
          <w:lang w:val="uz-Cyrl-UZ" w:eastAsia="zh-CN"/>
        </w:rPr>
        <w:t xml:space="preserve">Прилог 4.1. Анализа резултата анкета о мишљењу дипломираних студената о квалитету студијског програма и постигнутим исходима учења. </w:t>
      </w:r>
    </w:p>
    <w:p w:rsidR="00905A98" w:rsidRPr="00D853D6" w:rsidRDefault="00905A98" w:rsidP="00905A9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lang w:val="uz-Cyrl-UZ" w:eastAsia="zh-CN"/>
        </w:rPr>
      </w:pPr>
      <w:r w:rsidRPr="00D853D6">
        <w:rPr>
          <w:rFonts w:ascii="Times New Roman" w:eastAsia="Times New Roman" w:hAnsi="Times New Roman" w:cs="Times New Roman"/>
          <w:lang w:val="uz-Cyrl-UZ" w:eastAsia="zh-CN"/>
        </w:rPr>
        <w:t xml:space="preserve">Одељење за </w:t>
      </w:r>
      <w:r w:rsidR="00E03B4D" w:rsidRPr="00D853D6">
        <w:rPr>
          <w:rFonts w:ascii="Times New Roman" w:eastAsia="Times New Roman" w:hAnsi="Times New Roman" w:cs="Times New Roman"/>
          <w:lang w:val="uz-Cyrl-UZ" w:eastAsia="zh-CN"/>
        </w:rPr>
        <w:t>историју уметности</w:t>
      </w:r>
      <w:r w:rsidRPr="00D853D6">
        <w:rPr>
          <w:rFonts w:ascii="Times New Roman" w:eastAsia="Times New Roman" w:hAnsi="Times New Roman" w:cs="Times New Roman"/>
          <w:lang w:val="uz-Cyrl-UZ" w:eastAsia="zh-CN"/>
        </w:rPr>
        <w:t xml:space="preserve"> Филозофског факутета је за потребе процеса акредитације спровело истраживање испитивања квалитета студија из перспективе свршених студената три нивоа студија – основних академских студија, мастер академских студија и докторских академских студија, и посеб</w:t>
      </w:r>
      <w:r w:rsidR="00D853D6">
        <w:rPr>
          <w:rFonts w:ascii="Times New Roman" w:eastAsia="Times New Roman" w:hAnsi="Times New Roman" w:cs="Times New Roman"/>
          <w:lang w:val="uz-Cyrl-UZ" w:eastAsia="zh-CN"/>
        </w:rPr>
        <w:t xml:space="preserve">но </w:t>
      </w:r>
      <w:r w:rsidRPr="00D853D6">
        <w:rPr>
          <w:rFonts w:ascii="Times New Roman" w:eastAsia="Times New Roman" w:hAnsi="Times New Roman" w:cs="Times New Roman"/>
          <w:lang w:val="uz-Cyrl-UZ" w:eastAsia="zh-CN"/>
        </w:rPr>
        <w:t>и</w:t>
      </w:r>
      <w:r w:rsidR="00D853D6">
        <w:rPr>
          <w:rFonts w:ascii="Times New Roman" w:eastAsia="Times New Roman" w:hAnsi="Times New Roman" w:cs="Times New Roman"/>
          <w:lang w:val="uz-Cyrl-UZ" w:eastAsia="zh-CN"/>
        </w:rPr>
        <w:t>с</w:t>
      </w:r>
      <w:r w:rsidRPr="00D853D6">
        <w:rPr>
          <w:rFonts w:ascii="Times New Roman" w:eastAsia="Times New Roman" w:hAnsi="Times New Roman" w:cs="Times New Roman"/>
          <w:lang w:val="uz-Cyrl-UZ" w:eastAsia="zh-CN"/>
        </w:rPr>
        <w:t xml:space="preserve">траживање послодваца који запошљавају свршене студенте </w:t>
      </w:r>
      <w:r w:rsidR="00D853D6" w:rsidRPr="00E37EDD">
        <w:rPr>
          <w:rFonts w:ascii="Times New Roman" w:eastAsia="Times New Roman" w:hAnsi="Times New Roman" w:cs="Times New Roman"/>
          <w:lang w:val="uz-Cyrl-UZ" w:eastAsia="zh-CN"/>
        </w:rPr>
        <w:t>историје уметности</w:t>
      </w:r>
      <w:r w:rsidRPr="00D853D6">
        <w:rPr>
          <w:rFonts w:ascii="Times New Roman" w:eastAsia="Times New Roman" w:hAnsi="Times New Roman" w:cs="Times New Roman"/>
          <w:lang w:val="uz-Cyrl-UZ" w:eastAsia="zh-CN"/>
        </w:rPr>
        <w:t xml:space="preserve"> сва три нивоа студија, као део процеса самовредновања.  Испитивање је спроведено током октобра 2020. године путем онлајн упитника који је био дистрибуиран на више начина до циљних група. </w:t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b/>
          <w:highlight w:val="white"/>
          <w:lang w:val="uz-Cyrl-UZ" w:eastAsia="zh-CN"/>
        </w:rPr>
        <w:t xml:space="preserve">Резулатати анкетног истраживања дипломираних студената на Одељењу </w:t>
      </w:r>
      <w:r w:rsidR="00E03B4D">
        <w:rPr>
          <w:rFonts w:ascii="Times New Roman" w:eastAsia="Times New Roman" w:hAnsi="Times New Roman" w:cs="Times New Roman"/>
          <w:b/>
          <w:highlight w:val="white"/>
          <w:lang w:val="uz-Cyrl-UZ" w:eastAsia="zh-CN"/>
        </w:rPr>
        <w:t>историју уметности</w:t>
      </w:r>
    </w:p>
    <w:p w:rsidR="00905A98" w:rsidRPr="00D853D6" w:rsidRDefault="00905A98" w:rsidP="00905A9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lang w:val="uz-Cyrl-UZ" w:eastAsia="zh-CN"/>
        </w:rPr>
      </w:pP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D853D6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Током испитивања, посатављена су следећа питања на која су испитаници могли да одговоре на скали ликертовог типа где је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>1 означава</w:t>
      </w:r>
      <w:r w:rsidRPr="00D853D6">
        <w:rPr>
          <w:rFonts w:ascii="Times New Roman" w:eastAsia="Times New Roman" w:hAnsi="Times New Roman" w:cs="Times New Roman"/>
          <w:highlight w:val="white"/>
          <w:lang w:val="uz-Cyrl-UZ" w:eastAsia="zh-CN"/>
        </w:rPr>
        <w:t>ло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 „нимало нисам задовољан“, а оцена 5 „потупно сам задовољан“: </w:t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1.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Општим нивоом знања које сте стекли током студија                               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ab/>
        <w:t xml:space="preserve">  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ab/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2.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Квалитетом наставног кадра                                                             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ab/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3.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Стеченим теоријским знањем                                                           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ab/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4.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Стеченим практичним знањима и праксом коју сте имали током студија          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ab/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5.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Нивоом оспособљености за рад у струци                                                    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ab/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6.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Вашом припремљеношћу за тимски рад                                                      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ab/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7.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Вашом припремљеношћу за самостални рад                                                          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ab/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8.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Примењивошћу стеченог знања у пракси                                                   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ab/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9.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Стеченим организационим вештинама                                                       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ab/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10.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Критичким и аналитичким мишљењем и способношћу за решавање проблема    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ab/>
      </w:r>
    </w:p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11.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>Флексибилношћу и способношћу за прилагођавање различитим пословним ситуацијам</w:t>
      </w:r>
      <w:r w:rsidRPr="00D853D6">
        <w:rPr>
          <w:rFonts w:ascii="Times New Roman" w:eastAsia="Times New Roman" w:hAnsi="Times New Roman" w:cs="Times New Roman"/>
          <w:highlight w:val="white"/>
          <w:lang w:val="uz-Cyrl-UZ" w:eastAsia="zh-CN"/>
        </w:rPr>
        <w:t>а</w:t>
      </w:r>
    </w:p>
    <w:p w:rsid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lang w:val="uz-Cyrl-UZ" w:eastAsia="zh-CN"/>
        </w:rPr>
        <w:t xml:space="preserve">12. 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>Оспособљеношћу за јасно комуницирање својих идеја усмено или у писаној форми</w:t>
      </w:r>
    </w:p>
    <w:p w:rsidR="00E03B4D" w:rsidRDefault="00E03B4D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</w:p>
    <w:p w:rsidR="00C1667D" w:rsidRDefault="00C1667D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</w:p>
    <w:p w:rsidR="00E03B4D" w:rsidRPr="00905A98" w:rsidRDefault="00E03B4D" w:rsidP="00E03B4D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b/>
          <w:highlight w:val="white"/>
          <w:lang w:val="uz-Cyrl-UZ" w:eastAsia="zh-CN"/>
        </w:rPr>
        <w:t xml:space="preserve">Табела 4.1 </w:t>
      </w: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 </w:t>
      </w:r>
      <w:r w:rsidRPr="00905A98">
        <w:rPr>
          <w:rFonts w:ascii="Times New Roman" w:eastAsia="Times New Roman" w:hAnsi="Times New Roman" w:cs="Times New Roman"/>
          <w:i/>
          <w:highlight w:val="white"/>
          <w:lang w:val="uz-Cyrl-UZ" w:eastAsia="zh-CN"/>
        </w:rPr>
        <w:t>Просечне оцене</w:t>
      </w:r>
      <w:r w:rsidRPr="00D853D6">
        <w:rPr>
          <w:rFonts w:ascii="Times New Roman" w:eastAsia="Times New Roman" w:hAnsi="Times New Roman" w:cs="Times New Roman"/>
          <w:i/>
          <w:highlight w:val="white"/>
          <w:lang w:val="uz-Cyrl-UZ" w:eastAsia="zh-CN"/>
        </w:rPr>
        <w:t xml:space="preserve"> (µ)</w:t>
      </w:r>
      <w:r w:rsidRPr="00905A98">
        <w:rPr>
          <w:rFonts w:ascii="Times New Roman" w:eastAsia="Times New Roman" w:hAnsi="Times New Roman" w:cs="Times New Roman"/>
          <w:i/>
          <w:highlight w:val="white"/>
          <w:lang w:val="uz-Cyrl-UZ" w:eastAsia="zh-CN"/>
        </w:rPr>
        <w:t xml:space="preserve"> на ставкама за сва три нивоа студија</w:t>
      </w:r>
    </w:p>
    <w:tbl>
      <w:tblPr>
        <w:tblStyle w:val="TableGrid"/>
        <w:tblW w:w="0" w:type="auto"/>
        <w:tblLook w:val="04A0"/>
      </w:tblPr>
      <w:tblGrid>
        <w:gridCol w:w="973"/>
        <w:gridCol w:w="689"/>
        <w:gridCol w:w="720"/>
        <w:gridCol w:w="721"/>
        <w:gridCol w:w="709"/>
        <w:gridCol w:w="722"/>
        <w:gridCol w:w="722"/>
        <w:gridCol w:w="722"/>
        <w:gridCol w:w="722"/>
        <w:gridCol w:w="722"/>
        <w:gridCol w:w="722"/>
        <w:gridCol w:w="722"/>
        <w:gridCol w:w="710"/>
      </w:tblGrid>
      <w:tr w:rsidR="00E03B4D" w:rsidRPr="00E37EDD" w:rsidTr="00E03B4D">
        <w:tc>
          <w:tcPr>
            <w:tcW w:w="736" w:type="dxa"/>
          </w:tcPr>
          <w:p w:rsidR="00E03B4D" w:rsidRPr="00E37EDD" w:rsidRDefault="00E37ED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Бр. питања</w:t>
            </w:r>
          </w:p>
        </w:tc>
        <w:tc>
          <w:tcPr>
            <w:tcW w:w="736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1</w:t>
            </w:r>
          </w:p>
        </w:tc>
        <w:tc>
          <w:tcPr>
            <w:tcW w:w="736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2</w:t>
            </w:r>
          </w:p>
        </w:tc>
        <w:tc>
          <w:tcPr>
            <w:tcW w:w="736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3</w:t>
            </w:r>
          </w:p>
        </w:tc>
        <w:tc>
          <w:tcPr>
            <w:tcW w:w="736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4</w:t>
            </w:r>
          </w:p>
        </w:tc>
        <w:tc>
          <w:tcPr>
            <w:tcW w:w="737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5</w:t>
            </w:r>
          </w:p>
        </w:tc>
        <w:tc>
          <w:tcPr>
            <w:tcW w:w="737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6</w:t>
            </w:r>
          </w:p>
        </w:tc>
        <w:tc>
          <w:tcPr>
            <w:tcW w:w="737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7</w:t>
            </w:r>
          </w:p>
        </w:tc>
        <w:tc>
          <w:tcPr>
            <w:tcW w:w="737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8</w:t>
            </w:r>
          </w:p>
        </w:tc>
        <w:tc>
          <w:tcPr>
            <w:tcW w:w="737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9</w:t>
            </w:r>
          </w:p>
        </w:tc>
        <w:tc>
          <w:tcPr>
            <w:tcW w:w="737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10</w:t>
            </w:r>
          </w:p>
        </w:tc>
        <w:tc>
          <w:tcPr>
            <w:tcW w:w="737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11</w:t>
            </w:r>
          </w:p>
        </w:tc>
        <w:tc>
          <w:tcPr>
            <w:tcW w:w="737" w:type="dxa"/>
          </w:tcPr>
          <w:p w:rsidR="00E03B4D" w:rsidRPr="00E37EDD" w:rsidRDefault="00E03B4D" w:rsidP="00E37EDD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</w:pPr>
            <w:r w:rsidRPr="00E37EDD">
              <w:rPr>
                <w:rFonts w:ascii="Times New Roman" w:eastAsia="Times New Roman" w:hAnsi="Times New Roman" w:cs="Times New Roman"/>
                <w:b/>
                <w:highlight w:val="white"/>
                <w:lang w:val="uz-Cyrl-UZ" w:eastAsia="zh-CN"/>
              </w:rPr>
              <w:t>12</w:t>
            </w:r>
          </w:p>
        </w:tc>
      </w:tr>
      <w:tr w:rsidR="00E03B4D" w:rsidRPr="00E37EDD" w:rsidTr="00E03B4D">
        <w:tc>
          <w:tcPr>
            <w:tcW w:w="736" w:type="dxa"/>
          </w:tcPr>
          <w:p w:rsidR="00E03B4D" w:rsidRDefault="00E37ED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 xml:space="preserve">Оцена </w:t>
            </w:r>
          </w:p>
        </w:tc>
        <w:tc>
          <w:tcPr>
            <w:tcW w:w="736" w:type="dxa"/>
          </w:tcPr>
          <w:p w:rsidR="00E03B4D" w:rsidRDefault="00E03B4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4</w:t>
            </w:r>
          </w:p>
        </w:tc>
        <w:tc>
          <w:tcPr>
            <w:tcW w:w="736" w:type="dxa"/>
          </w:tcPr>
          <w:p w:rsidR="00E03B4D" w:rsidRDefault="00E03B4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4,06</w:t>
            </w:r>
          </w:p>
        </w:tc>
        <w:tc>
          <w:tcPr>
            <w:tcW w:w="736" w:type="dxa"/>
          </w:tcPr>
          <w:p w:rsidR="00E03B4D" w:rsidRDefault="00E03B4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4,26</w:t>
            </w:r>
          </w:p>
        </w:tc>
        <w:tc>
          <w:tcPr>
            <w:tcW w:w="736" w:type="dxa"/>
          </w:tcPr>
          <w:p w:rsidR="00E03B4D" w:rsidRDefault="00C1667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2,4</w:t>
            </w:r>
          </w:p>
        </w:tc>
        <w:tc>
          <w:tcPr>
            <w:tcW w:w="737" w:type="dxa"/>
          </w:tcPr>
          <w:p w:rsidR="00E03B4D" w:rsidRDefault="00C1667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3,06</w:t>
            </w:r>
          </w:p>
        </w:tc>
        <w:tc>
          <w:tcPr>
            <w:tcW w:w="737" w:type="dxa"/>
          </w:tcPr>
          <w:p w:rsidR="00E03B4D" w:rsidRDefault="00C1667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4,13</w:t>
            </w:r>
          </w:p>
        </w:tc>
        <w:tc>
          <w:tcPr>
            <w:tcW w:w="737" w:type="dxa"/>
          </w:tcPr>
          <w:p w:rsidR="00E03B4D" w:rsidRDefault="00C1667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4,53</w:t>
            </w:r>
          </w:p>
        </w:tc>
        <w:tc>
          <w:tcPr>
            <w:tcW w:w="737" w:type="dxa"/>
          </w:tcPr>
          <w:p w:rsidR="00E03B4D" w:rsidRDefault="00C1667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3,93</w:t>
            </w:r>
          </w:p>
        </w:tc>
        <w:tc>
          <w:tcPr>
            <w:tcW w:w="737" w:type="dxa"/>
          </w:tcPr>
          <w:p w:rsidR="00E03B4D" w:rsidRDefault="00C1667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3,47</w:t>
            </w:r>
          </w:p>
        </w:tc>
        <w:tc>
          <w:tcPr>
            <w:tcW w:w="737" w:type="dxa"/>
          </w:tcPr>
          <w:p w:rsidR="00E03B4D" w:rsidRDefault="00C1667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4,47</w:t>
            </w:r>
          </w:p>
        </w:tc>
        <w:tc>
          <w:tcPr>
            <w:tcW w:w="737" w:type="dxa"/>
          </w:tcPr>
          <w:p w:rsidR="00E03B4D" w:rsidRDefault="00C1667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3,87</w:t>
            </w:r>
          </w:p>
        </w:tc>
        <w:tc>
          <w:tcPr>
            <w:tcW w:w="737" w:type="dxa"/>
          </w:tcPr>
          <w:p w:rsidR="00E03B4D" w:rsidRDefault="00C1667D" w:rsidP="00905A98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lang w:val="uz-Cyrl-UZ" w:eastAsia="zh-CN"/>
              </w:rPr>
              <w:t>4,8</w:t>
            </w:r>
          </w:p>
        </w:tc>
      </w:tr>
    </w:tbl>
    <w:p w:rsidR="00905A98" w:rsidRPr="00905A98" w:rsidRDefault="00905A98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</w:p>
    <w:p w:rsidR="001B0C39" w:rsidRDefault="001B0C39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Из приказаних оцена може се закључити да се задовољство испитаника може изразити врло добром оценом (просечна оцена свих ставки је 3,92). Резултати јасно указује и на потребе у којима се стздије историје уметности морају развијати у будућости. Негујући и јачајући добре резултате у домену </w:t>
      </w:r>
      <w:r w:rsidR="005E4F2E">
        <w:rPr>
          <w:rFonts w:ascii="Times New Roman" w:eastAsia="Times New Roman" w:hAnsi="Times New Roman" w:cs="Times New Roman"/>
          <w:highlight w:val="white"/>
          <w:lang w:val="uz-Cyrl-UZ" w:eastAsia="zh-CN"/>
        </w:rPr>
        <w:t>теоријских знања, особособљености за самостални рада, критичко мишљење и јасно комунцирање, јасно се да се нарочита пажња мора посветити и практичним и</w:t>
      </w:r>
      <w:r w:rsidR="00E37EDD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 струковним активностима и знањ</w:t>
      </w:r>
      <w:r w:rsidR="005E4F2E">
        <w:rPr>
          <w:rFonts w:ascii="Times New Roman" w:eastAsia="Times New Roman" w:hAnsi="Times New Roman" w:cs="Times New Roman"/>
          <w:highlight w:val="white"/>
          <w:lang w:val="uz-Cyrl-UZ" w:eastAsia="zh-CN"/>
        </w:rPr>
        <w:t>има које тим путем студенти могу да стекну током трајања наставе.</w:t>
      </w:r>
    </w:p>
    <w:p w:rsidR="001B0C39" w:rsidRDefault="001B0C39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</w:p>
    <w:p w:rsidR="00905A98" w:rsidRPr="00905A98" w:rsidRDefault="001B0C39" w:rsidP="00905A98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905A98"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 </w:t>
      </w:r>
    </w:p>
    <w:sectPr w:rsidR="00905A98" w:rsidRPr="00905A98" w:rsidSect="001219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905A98"/>
    <w:rsid w:val="001219F9"/>
    <w:rsid w:val="001B0C39"/>
    <w:rsid w:val="005E4F2E"/>
    <w:rsid w:val="00793F1D"/>
    <w:rsid w:val="00905A98"/>
    <w:rsid w:val="00A17B00"/>
    <w:rsid w:val="00C1667D"/>
    <w:rsid w:val="00D853D6"/>
    <w:rsid w:val="00E03B4D"/>
    <w:rsid w:val="00E37EDD"/>
    <w:rsid w:val="00EC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3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5</cp:revision>
  <dcterms:created xsi:type="dcterms:W3CDTF">2020-10-23T07:22:00Z</dcterms:created>
  <dcterms:modified xsi:type="dcterms:W3CDTF">2021-05-14T09:52:00Z</dcterms:modified>
</cp:coreProperties>
</file>